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C0577" w14:textId="77777777" w:rsidR="0083594C" w:rsidRPr="0083594C" w:rsidRDefault="0083594C" w:rsidP="0083594C">
      <w:pPr>
        <w:spacing w:after="160" w:line="259" w:lineRule="auto"/>
        <w:jc w:val="center"/>
        <w:rPr>
          <w:rFonts w:asciiTheme="minorHAnsi" w:eastAsiaTheme="minorHAnsi" w:hAnsiTheme="minorHAnsi" w:cstheme="minorBidi"/>
          <w:b/>
          <w:bCs/>
          <w:sz w:val="36"/>
          <w:szCs w:val="36"/>
        </w:rPr>
      </w:pPr>
      <w:r w:rsidRPr="0083594C">
        <w:rPr>
          <w:rFonts w:asciiTheme="minorHAnsi" w:eastAsiaTheme="minorHAnsi" w:hAnsiTheme="minorHAnsi" w:cstheme="minorBidi"/>
          <w:b/>
          <w:bCs/>
          <w:sz w:val="36"/>
          <w:szCs w:val="36"/>
        </w:rPr>
        <w:t>Church Safety Plans (previously Worship Agreements)</w:t>
      </w:r>
    </w:p>
    <w:p w14:paraId="3CDA5E34" w14:textId="77777777" w:rsidR="0083594C" w:rsidRPr="0083594C" w:rsidRDefault="0083594C" w:rsidP="0083594C">
      <w:pPr>
        <w:spacing w:after="160" w:line="259" w:lineRule="auto"/>
        <w:jc w:val="center"/>
        <w:rPr>
          <w:rFonts w:asciiTheme="minorHAnsi" w:eastAsiaTheme="minorHAnsi" w:hAnsiTheme="minorHAnsi" w:cstheme="minorBidi"/>
          <w:sz w:val="28"/>
          <w:szCs w:val="28"/>
        </w:rPr>
      </w:pPr>
      <w:r w:rsidRPr="0083594C">
        <w:rPr>
          <w:rFonts w:asciiTheme="minorHAnsi" w:eastAsiaTheme="minorHAnsi" w:hAnsiTheme="minorHAnsi" w:cstheme="minorBidi"/>
          <w:b/>
          <w:bCs/>
          <w:sz w:val="28"/>
          <w:szCs w:val="28"/>
        </w:rPr>
        <w:t>What are they, why do we need them, and how do they work?</w:t>
      </w:r>
    </w:p>
    <w:p w14:paraId="205CBEAB" w14:textId="77777777" w:rsidR="0083594C" w:rsidRPr="0083594C" w:rsidRDefault="0083594C" w:rsidP="0083594C">
      <w:pPr>
        <w:spacing w:after="160" w:line="259" w:lineRule="auto"/>
        <w:jc w:val="both"/>
        <w:rPr>
          <w:rFonts w:ascii="Aptos" w:eastAsiaTheme="minorHAnsi" w:hAnsi="Aptos" w:cstheme="minorBidi"/>
          <w:i/>
          <w:iCs/>
        </w:rPr>
      </w:pPr>
      <w:r w:rsidRPr="0083594C">
        <w:rPr>
          <w:rFonts w:asciiTheme="minorHAnsi" w:eastAsiaTheme="minorHAnsi" w:hAnsiTheme="minorHAnsi" w:cstheme="minorBidi"/>
        </w:rPr>
        <w:t xml:space="preserve">The Code of Practice, Managing Safeguarding Concerns and Allegations Section 4C states, </w:t>
      </w:r>
      <w:r w:rsidRPr="0083594C">
        <w:rPr>
          <w:rFonts w:ascii="Aptos" w:eastAsiaTheme="minorHAnsi" w:hAnsi="Aptos" w:cs="Open Sans"/>
          <w:i/>
          <w:iCs/>
          <w:color w:val="000000"/>
          <w:spacing w:val="3"/>
          <w:shd w:val="clear" w:color="auto" w:fill="FFFFFF"/>
        </w:rPr>
        <w:t>The Church of England, based on the message of the Gospel, opens its doors to all. This includes children, young people and vulnerable adults, but it also includes those persons who have committed offences, sometimes of a very serious nature, and who may have their own vulnerabilities. There is evidence that supports the important role of faith and the role of the Church in the rehabilitation and reintegration of offenders and ex-offenders in society</w:t>
      </w:r>
      <w:r w:rsidRPr="0083594C">
        <w:rPr>
          <w:rFonts w:ascii="Aptos" w:eastAsiaTheme="minorHAnsi" w:hAnsi="Aptos" w:cs="Open Sans"/>
          <w:b/>
          <w:bCs/>
          <w:i/>
          <w:iCs/>
          <w:color w:val="000000"/>
          <w:spacing w:val="3"/>
          <w:shd w:val="clear" w:color="auto" w:fill="FFFFFF"/>
          <w:vertAlign w:val="superscript"/>
        </w:rPr>
        <w:t>2</w:t>
      </w:r>
      <w:r w:rsidRPr="0083594C">
        <w:rPr>
          <w:rFonts w:ascii="Aptos" w:eastAsiaTheme="minorHAnsi" w:hAnsi="Aptos" w:cs="Open Sans"/>
          <w:i/>
          <w:iCs/>
          <w:color w:val="000000"/>
          <w:spacing w:val="3"/>
          <w:shd w:val="clear" w:color="auto" w:fill="FFFFFF"/>
        </w:rPr>
        <w:t>. To ensure that church settings remain safe and accessible to all, a planned and considered welcome to those who may pose safeguarding risks is needed.</w:t>
      </w:r>
    </w:p>
    <w:p w14:paraId="210B6E6E" w14:textId="77777777" w:rsidR="0083594C" w:rsidRPr="0083594C" w:rsidRDefault="0083594C" w:rsidP="0083594C">
      <w:pPr>
        <w:spacing w:after="160" w:line="259" w:lineRule="auto"/>
        <w:jc w:val="both"/>
        <w:rPr>
          <w:rFonts w:asciiTheme="minorHAnsi" w:eastAsiaTheme="minorHAnsi" w:hAnsiTheme="minorHAnsi" w:cstheme="minorBidi"/>
          <w:sz w:val="28"/>
          <w:szCs w:val="28"/>
        </w:rPr>
      </w:pPr>
      <w:r w:rsidRPr="0083594C">
        <w:rPr>
          <w:rFonts w:asciiTheme="minorHAnsi" w:eastAsiaTheme="minorHAnsi" w:hAnsiTheme="minorHAnsi" w:cstheme="minorBidi"/>
          <w:sz w:val="28"/>
          <w:szCs w:val="28"/>
        </w:rPr>
        <w:t>What are they?</w:t>
      </w:r>
    </w:p>
    <w:p w14:paraId="4E98304D"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They are an approved process that is intended to facilitate a person to worship who may pose a risk to others, whether they be children or vulnerable adults, or any other member of the congregation or church community. They are a customisable document, tailored to an individual’s needs and circumstances, normally with a ‘support group’ of counter-signatories to ensure that the agreement is adhered to, managed properly, and reviewed when necessary.</w:t>
      </w:r>
    </w:p>
    <w:p w14:paraId="3F81D89C"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 guidance is specific to the Church of England and has been drawn up by the House of Bishops.  It takes into consideration an individual’s rights, but also the necessity to safeguard against those who may pose a risk to children and vulnerable people.</w:t>
      </w:r>
    </w:p>
    <w:p w14:paraId="735F9BF4"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Plans work from a baseline that respects the common and canon law right that a person has the right to attend their local parish church, where they live for worship at divine services. That ‘right’ does not necessarily extend to other church activities. The ‘local parish church’ factor generally does not apply to Cathedrals. </w:t>
      </w:r>
    </w:p>
    <w:p w14:paraId="35EEE431"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House of Bishop’s guidance states to remind us that all parish church safety plans are entirely voluntary.</w:t>
      </w:r>
    </w:p>
    <w:p w14:paraId="28B4EBB7"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To ignore or disregard the guidance, could constitute concerns around failing to give due regard to safeguarding, and may be considered ‘misconduct’.</w:t>
      </w:r>
    </w:p>
    <w:p w14:paraId="3FC3A2FF"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 process of church safety plans requires several steps which are usually carried out in consultation with or by the diocesan safeguarding team, but fundamentally a plan is held and managed by the nominated support reference group who counter sign the plan.</w:t>
      </w:r>
    </w:p>
    <w:p w14:paraId="4F50F078" w14:textId="77777777" w:rsidR="0083594C" w:rsidRPr="0083594C" w:rsidRDefault="0083594C" w:rsidP="0083594C">
      <w:pPr>
        <w:spacing w:after="160" w:line="259" w:lineRule="auto"/>
        <w:jc w:val="both"/>
        <w:rPr>
          <w:rFonts w:asciiTheme="minorHAnsi" w:eastAsiaTheme="minorHAnsi" w:hAnsiTheme="minorHAnsi" w:cstheme="minorBidi"/>
          <w:sz w:val="28"/>
          <w:szCs w:val="28"/>
        </w:rPr>
      </w:pPr>
      <w:r w:rsidRPr="0083594C">
        <w:rPr>
          <w:rFonts w:asciiTheme="minorHAnsi" w:eastAsiaTheme="minorHAnsi" w:hAnsiTheme="minorHAnsi" w:cstheme="minorBidi"/>
          <w:sz w:val="28"/>
          <w:szCs w:val="28"/>
        </w:rPr>
        <w:t>Why do we need them?</w:t>
      </w:r>
    </w:p>
    <w:p w14:paraId="6F2611A5"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In short, to ensure that we do what we can safeguard all within our church communities.</w:t>
      </w:r>
    </w:p>
    <w:p w14:paraId="227FCFEB"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In most cases, relevant persons will come to us having recently been dealt with by a court or from leaving prison. In most cases they will have certain conditions and restrictions placed upon them and sometimes their everyday lives, that we need to comply with. We are also expected to act responsibly and safely when conditions do not necessarily apply to a church setting, but we are still aware that concerns and risks exist.</w:t>
      </w:r>
    </w:p>
    <w:p w14:paraId="1C583048"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Sometimes agreements are put in place when a person is awaiting the outcome of an investigation. We are obligated to abide by any safeguarding measures placed upon individuals.</w:t>
      </w:r>
    </w:p>
    <w:p w14:paraId="7E40FFB0"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lastRenderedPageBreak/>
        <w:t>There are also occasions where an individual may not be convicted or subject of an investigation, but information or concern exists that they may pose a risk within the church community. Again, such situations present a requirement to sometimes limit a person’s involvement in church activities to reduce the risk. They are dealt with by means of the same process.</w:t>
      </w:r>
    </w:p>
    <w:p w14:paraId="1E9DF25C"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To ignore legal requirements, could result in a person being recalled to Prison or the diocese or parish having to legally justify why they did so. </w:t>
      </w:r>
    </w:p>
    <w:p w14:paraId="2C676ACC"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Below is a short guide as to what restrictions can/may be placed on an individual: </w:t>
      </w:r>
    </w:p>
    <w:p w14:paraId="1678D081" w14:textId="77777777" w:rsidR="0083594C" w:rsidRPr="0083594C" w:rsidRDefault="0083594C" w:rsidP="0083594C">
      <w:pPr>
        <w:spacing w:after="160" w:line="259" w:lineRule="auto"/>
        <w:jc w:val="both"/>
        <w:rPr>
          <w:rFonts w:asciiTheme="minorHAnsi" w:eastAsiaTheme="minorHAnsi" w:hAnsiTheme="minorHAnsi" w:cstheme="minorBidi"/>
          <w:b/>
          <w:bCs/>
        </w:rPr>
      </w:pPr>
    </w:p>
    <w:p w14:paraId="33E3A7C6" w14:textId="77777777" w:rsidR="0083594C" w:rsidRPr="0083594C" w:rsidRDefault="0083594C" w:rsidP="0083594C">
      <w:pPr>
        <w:spacing w:after="160" w:line="259" w:lineRule="auto"/>
        <w:jc w:val="both"/>
        <w:rPr>
          <w:rFonts w:asciiTheme="minorHAnsi" w:eastAsiaTheme="minorHAnsi" w:hAnsiTheme="minorHAnsi" w:cstheme="minorBidi"/>
          <w:b/>
          <w:bCs/>
        </w:rPr>
      </w:pPr>
      <w:r w:rsidRPr="0083594C">
        <w:rPr>
          <w:rFonts w:asciiTheme="minorHAnsi" w:eastAsiaTheme="minorHAnsi" w:hAnsiTheme="minorHAnsi" w:cstheme="minorBidi"/>
          <w:b/>
          <w:bCs/>
        </w:rPr>
        <w:t>Sex Offenders Register (S.O.R.)</w:t>
      </w:r>
    </w:p>
    <w:p w14:paraId="3FA838A3"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This follows a conviction or a Police caution for certain sex offences (including downloading indecent images of children), it can be anything between 2 years and rest of life in length. Individuals subject to sex offender registration must inform the Police where they live, in some cases, who they spend time with, and are normally visited by Police Public Protection Unit (P.P.U.) at least once a year, depending on risk level.</w:t>
      </w:r>
    </w:p>
    <w:p w14:paraId="339199A9" w14:textId="77777777" w:rsidR="0083594C" w:rsidRPr="0083594C" w:rsidRDefault="0083594C" w:rsidP="0083594C">
      <w:pPr>
        <w:spacing w:after="160" w:line="259" w:lineRule="auto"/>
        <w:jc w:val="both"/>
        <w:rPr>
          <w:rFonts w:asciiTheme="minorHAnsi" w:eastAsiaTheme="minorHAnsi" w:hAnsiTheme="minorHAnsi" w:cstheme="minorBidi"/>
          <w:b/>
          <w:bCs/>
        </w:rPr>
      </w:pPr>
      <w:r w:rsidRPr="0083594C">
        <w:rPr>
          <w:rFonts w:asciiTheme="minorHAnsi" w:eastAsiaTheme="minorHAnsi" w:hAnsiTheme="minorHAnsi" w:cstheme="minorBidi"/>
          <w:b/>
          <w:bCs/>
        </w:rPr>
        <w:t>‘Being on Licence’</w:t>
      </w:r>
    </w:p>
    <w:p w14:paraId="73C0B711"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This normally follows being released from prison before the end of the sentence and being managed within the community. The licence will often have conditions restricting activities. An adult on licence will be managed by the Probation Service. </w:t>
      </w:r>
    </w:p>
    <w:p w14:paraId="433BFCBD"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A breach of licence can result in a ‘recall’ to prison for the remainder of the sentence to be served.</w:t>
      </w:r>
    </w:p>
    <w:p w14:paraId="6F5BB859" w14:textId="77777777" w:rsidR="0083594C" w:rsidRPr="0083594C" w:rsidRDefault="0083594C" w:rsidP="0083594C">
      <w:pPr>
        <w:spacing w:after="160" w:line="259" w:lineRule="auto"/>
        <w:jc w:val="both"/>
        <w:rPr>
          <w:rFonts w:asciiTheme="minorHAnsi" w:eastAsiaTheme="minorHAnsi" w:hAnsiTheme="minorHAnsi" w:cstheme="minorBidi"/>
          <w:b/>
          <w:bCs/>
        </w:rPr>
      </w:pPr>
      <w:r w:rsidRPr="0083594C">
        <w:rPr>
          <w:rFonts w:asciiTheme="minorHAnsi" w:eastAsiaTheme="minorHAnsi" w:hAnsiTheme="minorHAnsi" w:cstheme="minorBidi"/>
          <w:b/>
          <w:bCs/>
        </w:rPr>
        <w:t>Sexual Harm Prevention Order (SHPO)</w:t>
      </w:r>
    </w:p>
    <w:p w14:paraId="2CBC186F"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These are measures imposed by a court at sentence for offences of a sexual nature, including internet grooming and downloading image offences. A SHPO can be anything in length from 5 years to indefinitely. They place conditions and restrictions on the life of a convicted person, such as ‘not to have any contact with children under 16 years’, ‘not to have internet access that cannot be seen by Police’. Social Services are likely to be made aware of any family that someone subject to a SHPO would have contact with. The court must be satisfied that when the Police or Crown Prosecution Service apply for a SHPO its conditions are proportionate and relevant to the offence. The conditions placed are intended to protect vulnerable persons and the public who may not know of a person’s history.</w:t>
      </w:r>
    </w:p>
    <w:p w14:paraId="47021598"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A SHPO can only be varied or cancelled at court or expires on its ‘end date’.</w:t>
      </w:r>
    </w:p>
    <w:p w14:paraId="360335B2"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Breach of a SHPO is a separate offence which can carry a custodial sentence.</w:t>
      </w:r>
    </w:p>
    <w:p w14:paraId="342FC076" w14:textId="77777777" w:rsidR="0083594C" w:rsidRPr="0083594C" w:rsidRDefault="0083594C" w:rsidP="0083594C">
      <w:pPr>
        <w:spacing w:after="160" w:line="259" w:lineRule="auto"/>
        <w:jc w:val="both"/>
        <w:rPr>
          <w:rFonts w:asciiTheme="minorHAnsi" w:eastAsiaTheme="minorHAnsi" w:hAnsiTheme="minorHAnsi" w:cstheme="minorBidi"/>
          <w:b/>
          <w:bCs/>
        </w:rPr>
      </w:pPr>
      <w:r w:rsidRPr="0083594C">
        <w:rPr>
          <w:rFonts w:asciiTheme="minorHAnsi" w:eastAsiaTheme="minorHAnsi" w:hAnsiTheme="minorHAnsi" w:cstheme="minorBidi"/>
          <w:b/>
          <w:bCs/>
        </w:rPr>
        <w:t>‘Bail’ and ‘Bail Conditions’</w:t>
      </w:r>
    </w:p>
    <w:p w14:paraId="26F73DB2"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Bail is a legal measure used by the Police and/or Courts, usually whilst a decision is being made regarding disposal (charge to Court, Caution, etc), or when a matter is awaiting going to Court or between Court appearances. It places a legal requirement for an individual who is suspected of committing an offence to attend a Police Station or Court as directed. It is a criminal offence to fail to respond to bail as directed.</w:t>
      </w:r>
    </w:p>
    <w:p w14:paraId="76068C6F"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Very often bail will have conditions attached, these are usually to safeguard victims, witnesses, and the public, and to prevent the commission of further offences. The breaching of any bail conditions can sometimes be arrestable, and in any event should be reported to Police. </w:t>
      </w:r>
    </w:p>
    <w:p w14:paraId="7446760F" w14:textId="77777777" w:rsidR="0083594C" w:rsidRPr="0083594C" w:rsidRDefault="0083594C" w:rsidP="0083594C">
      <w:pPr>
        <w:spacing w:after="160" w:line="259" w:lineRule="auto"/>
        <w:jc w:val="both"/>
        <w:rPr>
          <w:rFonts w:asciiTheme="minorHAnsi" w:eastAsiaTheme="minorHAnsi" w:hAnsiTheme="minorHAnsi" w:cstheme="minorBidi"/>
          <w:b/>
          <w:bCs/>
        </w:rPr>
      </w:pPr>
      <w:r w:rsidRPr="0083594C">
        <w:rPr>
          <w:rFonts w:asciiTheme="minorHAnsi" w:eastAsiaTheme="minorHAnsi" w:hAnsiTheme="minorHAnsi" w:cstheme="minorBidi"/>
          <w:b/>
          <w:bCs/>
        </w:rPr>
        <w:t>‘Released under Investigation’</w:t>
      </w:r>
    </w:p>
    <w:p w14:paraId="4E2C017A"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lastRenderedPageBreak/>
        <w:t xml:space="preserve">Similar circumstances to ‘Bail’ but not as structured, normally when Police have extended enquiries, or a prosecution decision may be delayed. However, a person will still be under investigation, and often safeguarding steps will still need to be considered accordingly. </w:t>
      </w:r>
    </w:p>
    <w:p w14:paraId="0941920C" w14:textId="77777777" w:rsidR="0083594C" w:rsidRPr="0083594C" w:rsidRDefault="0083594C" w:rsidP="0083594C">
      <w:pPr>
        <w:spacing w:after="160" w:line="259" w:lineRule="auto"/>
        <w:jc w:val="both"/>
        <w:rPr>
          <w:rFonts w:asciiTheme="minorHAnsi" w:eastAsiaTheme="minorHAnsi" w:hAnsiTheme="minorHAnsi" w:cstheme="minorBidi"/>
          <w:sz w:val="28"/>
          <w:szCs w:val="28"/>
        </w:rPr>
      </w:pPr>
    </w:p>
    <w:p w14:paraId="338C78FA" w14:textId="77777777" w:rsidR="0083594C" w:rsidRPr="0083594C" w:rsidRDefault="0083594C" w:rsidP="0083594C">
      <w:pPr>
        <w:spacing w:after="160" w:line="259" w:lineRule="auto"/>
        <w:jc w:val="both"/>
        <w:rPr>
          <w:rFonts w:asciiTheme="minorHAnsi" w:eastAsiaTheme="minorHAnsi" w:hAnsiTheme="minorHAnsi" w:cstheme="minorBidi"/>
          <w:sz w:val="28"/>
          <w:szCs w:val="28"/>
        </w:rPr>
      </w:pPr>
      <w:r w:rsidRPr="0083594C">
        <w:rPr>
          <w:rFonts w:asciiTheme="minorHAnsi" w:eastAsiaTheme="minorHAnsi" w:hAnsiTheme="minorHAnsi" w:cstheme="minorBidi"/>
          <w:sz w:val="28"/>
          <w:szCs w:val="28"/>
        </w:rPr>
        <w:t>How do they work?</w:t>
      </w:r>
    </w:p>
    <w:p w14:paraId="2F09E584"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In most cases statutory agencies (Police, Prisons, Probation etc) will provide us with as much notice as they can. Sometimes we are notified by parishes that a person has asked to attend to worship.</w:t>
      </w:r>
    </w:p>
    <w:p w14:paraId="29B6B280"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The Diocesan Safeguarding Officer/Assistant Diocesan Safeguarding Officer (DSO/ADSO) will then arrange to initially meet with the individual with a view to discussing their needs, and to complete a risk assessment which can assist in the formulation of an appropriate and safe plan. This will include identifying which church is most suitable for the individual to attend and time of service. </w:t>
      </w:r>
    </w:p>
    <w:p w14:paraId="60EA9F28"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A discussion will then follow with the relevant agency to ensure that any proposed plan is safe, appropriate and in keeping with any legal orders or requirements (as detailed above). If we were to allow a person to deviate from the terms of their licence or court order, they could be recalled to prison, and questions could be asked as to how that was allowed to happen.</w:t>
      </w:r>
    </w:p>
    <w:p w14:paraId="23E8A663"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Once it has been agreed that the proposed plan is suitable, the relevant church would be contacted if they were not already aware.</w:t>
      </w:r>
    </w:p>
    <w:p w14:paraId="2F43EA2D"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There should then be a meeting between the ADSO, the Incumbent, the Parish Safeguarding Officer and any other person who will be part of the support reference group. At the meeting information should be shared regarding the nature of the offence and risk assessment level, church activities and how the plan should be implemented, including suggested restrictions on attendance.</w:t>
      </w:r>
    </w:p>
    <w:p w14:paraId="5B7B7B64"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 The Code of Practice, Managing Safeguarding Concerns and Allegations states: </w:t>
      </w:r>
    </w:p>
    <w:p w14:paraId="2B398A44" w14:textId="77777777" w:rsidR="0083594C" w:rsidRPr="0083594C" w:rsidRDefault="0083594C" w:rsidP="0083594C">
      <w:pPr>
        <w:spacing w:after="160" w:line="259" w:lineRule="auto"/>
        <w:jc w:val="both"/>
        <w:rPr>
          <w:rFonts w:asciiTheme="minorHAnsi" w:eastAsiaTheme="minorHAnsi" w:hAnsiTheme="minorHAnsi" w:cstheme="minorBidi"/>
          <w:i/>
          <w:iCs/>
        </w:rPr>
      </w:pPr>
      <w:r w:rsidRPr="0083594C">
        <w:rPr>
          <w:rFonts w:asciiTheme="minorHAnsi" w:eastAsiaTheme="minorHAnsi" w:hAnsiTheme="minorHAnsi" w:cstheme="minorBidi"/>
          <w:i/>
          <w:iCs/>
        </w:rPr>
        <w:t>The aim of a Church Safety Plan is to set clear boundaries which allow an individual who may present a safeguarding risk to join or continue to be part of a Church community safely. A Church Safety Plan is not meant to be punitive in nature. Church Safety Plans can be put in place to protect the victims, other members of the Church and the subject of the Plan. The intention behind setting certain boundaries is to acknowledge risks that have been identified and find proportionate ways to manage them.</w:t>
      </w:r>
    </w:p>
    <w:p w14:paraId="597A0B7F" w14:textId="77777777" w:rsidR="0083594C" w:rsidRPr="0083594C" w:rsidRDefault="0083594C" w:rsidP="0083594C">
      <w:pPr>
        <w:spacing w:after="160" w:line="259" w:lineRule="auto"/>
        <w:jc w:val="both"/>
        <w:rPr>
          <w:rFonts w:asciiTheme="minorHAnsi" w:eastAsiaTheme="minorHAnsi" w:hAnsiTheme="minorHAnsi" w:cstheme="minorBidi"/>
          <w:i/>
          <w:iCs/>
        </w:rPr>
      </w:pPr>
      <w:r w:rsidRPr="0083594C">
        <w:rPr>
          <w:rFonts w:asciiTheme="minorHAnsi" w:eastAsiaTheme="minorHAnsi" w:hAnsiTheme="minorHAnsi" w:cstheme="minorBidi"/>
          <w:i/>
          <w:iCs/>
        </w:rPr>
        <w:t>Church Safety Plans are most effective when they are drafted in a collaborative manner. The Safeguarding Officer, statutory partners, the subject of the Plan and anyone involved in monitoring the Plan (e.g. churchwardens, incumbents, PCC members, PSOs) must be involved in drafting it and must sign it. Other relevant parties may also be invited to contribute to the development of the Plan, as needed. All parties involved should ensure that the requirements contained within the Plan are sufficient and proportionate for the management of the risks identified, as well as enforceable.</w:t>
      </w:r>
    </w:p>
    <w:p w14:paraId="3A17FB34" w14:textId="77777777" w:rsidR="0083594C" w:rsidRPr="0083594C" w:rsidRDefault="0083594C" w:rsidP="0083594C">
      <w:pPr>
        <w:spacing w:after="160" w:line="259" w:lineRule="auto"/>
        <w:jc w:val="both"/>
        <w:rPr>
          <w:rFonts w:asciiTheme="minorHAnsi" w:eastAsiaTheme="minorHAnsi" w:hAnsiTheme="minorHAnsi" w:cstheme="minorBidi"/>
          <w:i/>
          <w:iCs/>
        </w:rPr>
      </w:pPr>
      <w:r w:rsidRPr="0083594C">
        <w:rPr>
          <w:rFonts w:asciiTheme="minorHAnsi" w:eastAsiaTheme="minorHAnsi" w:hAnsiTheme="minorHAnsi" w:cstheme="minorBidi"/>
          <w:i/>
          <w:iCs/>
        </w:rPr>
        <w:t>The drafting of the terms of the Plan should be informed by any risk assessments carried out and should include considerations of both risks and protective factors. When drafting a Plan, Safeguarding Officers and others are asked to consider what the risks within the Church context are, what is working well, and what can be done to further mitigate the identified risks. Importantly, the needs of victims and survivors must be central to any discussions about a Plan. Where relevant, restrictions that individuals are under from statutory partners should be reflected within any Plan that is put in place by the Church. Consultation should take place with relevant statutory agencies, such as the police or probation service and other relevant parties, such as the parish priest, parish safeguarding officer and churchwardens.</w:t>
      </w:r>
    </w:p>
    <w:p w14:paraId="450CBB3A" w14:textId="77777777" w:rsidR="0083594C" w:rsidRPr="0083594C" w:rsidRDefault="0083594C" w:rsidP="0083594C">
      <w:pPr>
        <w:spacing w:after="160" w:line="259" w:lineRule="auto"/>
        <w:jc w:val="both"/>
        <w:rPr>
          <w:rFonts w:asciiTheme="minorHAnsi" w:eastAsiaTheme="minorHAnsi" w:hAnsiTheme="minorHAnsi" w:cstheme="minorBidi"/>
        </w:rPr>
      </w:pPr>
    </w:p>
    <w:p w14:paraId="147788E6"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 plan may contain several relevant measures put in place to safeguard members of the church community, which may include:</w:t>
      </w:r>
    </w:p>
    <w:p w14:paraId="48CB9773"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Attend designated services or meetings only.</w:t>
      </w:r>
    </w:p>
    <w:p w14:paraId="457E03F3"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Sit apart from children, young people and/or vulnerable adults.</w:t>
      </w:r>
    </w:p>
    <w:p w14:paraId="0E6A4DB5"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Stay away from areas of the building where children, young people and/or vulnerable adults meet.</w:t>
      </w:r>
    </w:p>
    <w:p w14:paraId="1F33D6B9"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Decline hospitality where there are children, young people and/or vulnerable adults present.</w:t>
      </w:r>
    </w:p>
    <w:p w14:paraId="22C13300"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Never be alone with children, young people and/or vulnerable adults.</w:t>
      </w:r>
    </w:p>
    <w:p w14:paraId="68CE5EE4"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Never work or be part of a mixed-age group with children, young people and/or vulnerable adults.</w:t>
      </w:r>
    </w:p>
    <w:p w14:paraId="501B2D24"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Take no official role in the Church or any responsible role where they will be trusted by others.</w:t>
      </w:r>
    </w:p>
    <w:p w14:paraId="3D9F8F87"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To inform the Diocesan Safeguarding Team of any activity with any other church or any other     activity on church premises.</w:t>
      </w:r>
    </w:p>
    <w:p w14:paraId="2D51F287" w14:textId="77777777" w:rsidR="0083594C" w:rsidRPr="0083594C" w:rsidRDefault="0083594C" w:rsidP="0083594C">
      <w:pPr>
        <w:numPr>
          <w:ilvl w:val="0"/>
          <w:numId w:val="2"/>
        </w:numPr>
        <w:spacing w:after="160" w:line="259" w:lineRule="auto"/>
        <w:contextualSpacing/>
        <w:jc w:val="both"/>
        <w:rPr>
          <w:rFonts w:asciiTheme="minorHAnsi" w:eastAsiaTheme="minorHAnsi" w:hAnsiTheme="minorHAnsi" w:cstheme="minorBidi"/>
        </w:rPr>
      </w:pPr>
      <w:r w:rsidRPr="0083594C">
        <w:rPr>
          <w:rFonts w:asciiTheme="minorHAnsi" w:eastAsiaTheme="minorHAnsi" w:hAnsiTheme="minorHAnsi" w:cstheme="minorBidi"/>
        </w:rPr>
        <w:t>Not to use or have access to any church or diocese owned I.T. equipment (for internet type offences).</w:t>
      </w:r>
    </w:p>
    <w:p w14:paraId="3BD1FFA2" w14:textId="77777777" w:rsidR="0083594C" w:rsidRPr="0083594C" w:rsidRDefault="0083594C" w:rsidP="0083594C">
      <w:pPr>
        <w:spacing w:after="160" w:line="259" w:lineRule="auto"/>
        <w:jc w:val="both"/>
        <w:rPr>
          <w:rFonts w:asciiTheme="minorHAnsi" w:eastAsiaTheme="minorHAnsi" w:hAnsiTheme="minorHAnsi" w:cstheme="minorBidi"/>
        </w:rPr>
      </w:pPr>
    </w:p>
    <w:p w14:paraId="0248B47C"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This list is not exhaustive, nor will it apply in all cases, the plan should be relevant and proportionate for the individual and the risks they may pose.</w:t>
      </w:r>
    </w:p>
    <w:p w14:paraId="3A40A93A"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 persons who normally counter sign a plan (Support Reference Group) are the Incumbent/Team Vicar, the subject, Parish Safeguarding Officer, (Adult or Child) and two Church Wardens. Others may be included if deemed necessary. The signatories are responsible for ensuring that the plan is reviewed appropriately and being adhered to, they can be supported by the DSO/ADSO should any problems arise. They should also immediately report any breaches of the plan or safeguarding issues that arise.</w:t>
      </w:r>
    </w:p>
    <w:p w14:paraId="5DA8E80B"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 revised format of a Church Safety Plan now requires it to be documented when each member of a Support Reference Group has last completed the appropriate level of Church of England Safeguarding Training, this clearly indicates the requirement for appropriate in date training in order for a plan to be considered or recognised as being in place.</w:t>
      </w:r>
    </w:p>
    <w:p w14:paraId="33DAD3E6"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We hope that this guide assists you in your understanding of Church Safety Plans.</w:t>
      </w:r>
    </w:p>
    <w:p w14:paraId="6CFFF997"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Our aim is not to exclude individuals who wish to worship and join a church community, but to ensure that their participation is safe and in accordance with good practice.</w:t>
      </w:r>
    </w:p>
    <w:p w14:paraId="33170A4C"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Please remember to call or contact the safeguarding team if you have any questions or are unsure of what to do next.</w:t>
      </w:r>
    </w:p>
    <w:p w14:paraId="15F2C394" w14:textId="77777777" w:rsidR="0083594C" w:rsidRPr="0083594C" w:rsidRDefault="0083594C" w:rsidP="0083594C">
      <w:pPr>
        <w:spacing w:after="160" w:line="259" w:lineRule="auto"/>
        <w:jc w:val="both"/>
        <w:rPr>
          <w:rFonts w:asciiTheme="minorHAnsi" w:eastAsiaTheme="minorHAnsi" w:hAnsiTheme="minorHAnsi" w:cstheme="minorBidi"/>
          <w:b/>
          <w:bCs/>
        </w:rPr>
      </w:pPr>
      <w:r w:rsidRPr="0083594C">
        <w:rPr>
          <w:rFonts w:asciiTheme="minorHAnsi" w:eastAsiaTheme="minorHAnsi" w:hAnsiTheme="minorHAnsi" w:cstheme="minorBidi"/>
          <w:b/>
          <w:bCs/>
        </w:rPr>
        <w:t>Contact Details</w:t>
      </w:r>
    </w:p>
    <w:p w14:paraId="1D45C090"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Email: safeguarding@dioceseofnorwich.org</w:t>
      </w:r>
    </w:p>
    <w:p w14:paraId="17F905D8"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Telephone: 01603 882345</w:t>
      </w:r>
    </w:p>
    <w:p w14:paraId="4761E56B"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 xml:space="preserve">The full guidance on this matter can be found on the Church of England website under safeguarding ‘policies and procedures’, titled: </w:t>
      </w:r>
    </w:p>
    <w:p w14:paraId="11AB0B52"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Code of Practice, Managing safeguarding concerns and allegations Section 4C</w:t>
      </w:r>
    </w:p>
    <w:p w14:paraId="69DE0D45" w14:textId="77777777" w:rsidR="0083594C" w:rsidRPr="0083594C" w:rsidRDefault="0083594C" w:rsidP="0083594C">
      <w:pPr>
        <w:spacing w:after="160" w:line="259" w:lineRule="auto"/>
        <w:jc w:val="both"/>
        <w:rPr>
          <w:rFonts w:asciiTheme="minorHAnsi" w:eastAsiaTheme="minorHAnsi" w:hAnsiTheme="minorHAnsi" w:cstheme="minorBidi"/>
        </w:rPr>
      </w:pPr>
      <w:hyperlink r:id="rId10" w:history="1">
        <w:r w:rsidRPr="0083594C">
          <w:rPr>
            <w:rFonts w:asciiTheme="minorHAnsi" w:eastAsiaTheme="minorHAnsi" w:hAnsiTheme="minorHAnsi" w:cstheme="minorBidi"/>
            <w:color w:val="0000FF"/>
            <w:u w:val="single"/>
          </w:rPr>
          <w:t>Section 4: Pathways | The Church of England</w:t>
        </w:r>
      </w:hyperlink>
    </w:p>
    <w:p w14:paraId="06B01106"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Thank you</w:t>
      </w:r>
    </w:p>
    <w:p w14:paraId="2B89B772" w14:textId="77777777" w:rsidR="0083594C" w:rsidRPr="0083594C" w:rsidRDefault="0083594C" w:rsidP="0083594C">
      <w:pPr>
        <w:spacing w:after="160" w:line="259" w:lineRule="auto"/>
        <w:jc w:val="both"/>
        <w:rPr>
          <w:rFonts w:asciiTheme="minorHAnsi" w:eastAsiaTheme="minorHAnsi" w:hAnsiTheme="minorHAnsi" w:cstheme="minorBidi"/>
        </w:rPr>
      </w:pPr>
      <w:r w:rsidRPr="0083594C">
        <w:rPr>
          <w:rFonts w:asciiTheme="minorHAnsi" w:eastAsiaTheme="minorHAnsi" w:hAnsiTheme="minorHAnsi" w:cstheme="minorBidi"/>
        </w:rPr>
        <w:t>The Safeguarding Team</w:t>
      </w:r>
    </w:p>
    <w:p w14:paraId="3AFCAE31" w14:textId="77E75214" w:rsidR="00DF26A5" w:rsidRPr="000264E2" w:rsidRDefault="00DF26A5" w:rsidP="000264E2"/>
    <w:sectPr w:rsidR="00DF26A5" w:rsidRPr="000264E2" w:rsidSect="001F0040">
      <w:headerReference w:type="first" r:id="rId11"/>
      <w:footerReference w:type="first" r:id="rId12"/>
      <w:pgSz w:w="11906" w:h="16838"/>
      <w:pgMar w:top="1843" w:right="851" w:bottom="992"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9F4C" w14:textId="77777777" w:rsidR="00425566" w:rsidRDefault="00425566" w:rsidP="00F00F0B">
      <w:pPr>
        <w:spacing w:after="0" w:line="240" w:lineRule="auto"/>
      </w:pPr>
      <w:r>
        <w:separator/>
      </w:r>
    </w:p>
  </w:endnote>
  <w:endnote w:type="continuationSeparator" w:id="0">
    <w:p w14:paraId="6D018ADC" w14:textId="77777777" w:rsidR="00425566" w:rsidRDefault="00425566" w:rsidP="00F00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GillSans">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40F2" w14:textId="11E63DA0" w:rsidR="00C10449" w:rsidRDefault="002D4EDD" w:rsidP="00C10449">
    <w:pPr>
      <w:pStyle w:val="Footer"/>
      <w:spacing w:after="0"/>
      <w:rPr>
        <w:rFonts w:ascii="GillSans" w:hAnsi="GillSans"/>
        <w:sz w:val="14"/>
        <w:szCs w:val="14"/>
      </w:rPr>
    </w:pPr>
    <w:r w:rsidRPr="00771B35">
      <w:rPr>
        <w:noProof/>
        <w:color w:val="FF0000"/>
      </w:rPr>
      <mc:AlternateContent>
        <mc:Choice Requires="wps">
          <w:drawing>
            <wp:anchor distT="0" distB="0" distL="114300" distR="114300" simplePos="0" relativeHeight="251661312" behindDoc="0" locked="0" layoutInCell="1" allowOverlap="1" wp14:anchorId="5CD6D458" wp14:editId="5852A6A9">
              <wp:simplePos x="0" y="0"/>
              <wp:positionH relativeFrom="column">
                <wp:posOffset>0</wp:posOffset>
              </wp:positionH>
              <wp:positionV relativeFrom="paragraph">
                <wp:posOffset>15240</wp:posOffset>
              </wp:positionV>
              <wp:extent cx="6185833" cy="0"/>
              <wp:effectExtent l="0" t="0" r="12065" b="12700"/>
              <wp:wrapNone/>
              <wp:docPr id="5" name="Straight Connector 5"/>
              <wp:cNvGraphicFramePr/>
              <a:graphic xmlns:a="http://schemas.openxmlformats.org/drawingml/2006/main">
                <a:graphicData uri="http://schemas.microsoft.com/office/word/2010/wordprocessingShape">
                  <wps:wsp>
                    <wps:cNvCnPr/>
                    <wps:spPr>
                      <a:xfrm>
                        <a:off x="0" y="0"/>
                        <a:ext cx="6185833" cy="0"/>
                      </a:xfrm>
                      <a:prstGeom prst="line">
                        <a:avLst/>
                      </a:prstGeom>
                      <a:ln w="12700">
                        <a:solidFill>
                          <a:srgbClr val="7668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5FDB67"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2pt" to="487.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" strokecolor="#7668a0" strokeweight="1pt">
              <v:stroke joinstyle="miter"/>
            </v:line>
          </w:pict>
        </mc:Fallback>
      </mc:AlternateContent>
    </w:r>
    <w:r w:rsidR="00C10449">
      <w:rPr>
        <w:rFonts w:ascii="GillSans" w:hAnsi="GillSans"/>
        <w:noProof/>
        <w:sz w:val="14"/>
        <w:szCs w:val="14"/>
      </w:rPr>
      <w:drawing>
        <wp:anchor distT="0" distB="0" distL="114300" distR="114300" simplePos="0" relativeHeight="251659264" behindDoc="0" locked="0" layoutInCell="1" allowOverlap="1" wp14:anchorId="32A5D16E" wp14:editId="223E717A">
          <wp:simplePos x="0" y="0"/>
          <wp:positionH relativeFrom="column">
            <wp:posOffset>4308346</wp:posOffset>
          </wp:positionH>
          <wp:positionV relativeFrom="paragraph">
            <wp:posOffset>154305</wp:posOffset>
          </wp:positionV>
          <wp:extent cx="1883016" cy="313324"/>
          <wp:effectExtent l="0" t="0" r="0" b="4445"/>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3016" cy="313324"/>
                  </a:xfrm>
                  <a:prstGeom prst="rect">
                    <a:avLst/>
                  </a:prstGeom>
                </pic:spPr>
              </pic:pic>
            </a:graphicData>
          </a:graphic>
          <wp14:sizeRelH relativeFrom="page">
            <wp14:pctWidth>0</wp14:pctWidth>
          </wp14:sizeRelH>
          <wp14:sizeRelV relativeFrom="page">
            <wp14:pctHeight>0</wp14:pctHeight>
          </wp14:sizeRelV>
        </wp:anchor>
      </w:drawing>
    </w:r>
    <w:r>
      <w:rPr>
        <w:noProof/>
      </w:rPr>
      <w:softHyphen/>
    </w:r>
    <w:r w:rsidR="003D461A" w:rsidRPr="003D461A">
      <w:rPr>
        <w:rFonts w:ascii="GillSans" w:hAnsi="GillSans"/>
        <w:sz w:val="14"/>
        <w:szCs w:val="14"/>
      </w:rPr>
      <w:br/>
      <w:t>Norwich Diocesan Board of Finance Ltd</w:t>
    </w:r>
    <w:r w:rsidR="00C10449">
      <w:rPr>
        <w:rFonts w:ascii="GillSans" w:hAnsi="GillSans"/>
        <w:sz w:val="14"/>
        <w:szCs w:val="14"/>
      </w:rPr>
      <w:tab/>
    </w:r>
    <w:r w:rsidR="00C10449">
      <w:rPr>
        <w:rFonts w:ascii="GillSans" w:hAnsi="GillSans"/>
        <w:sz w:val="14"/>
        <w:szCs w:val="14"/>
      </w:rPr>
      <w:tab/>
    </w:r>
  </w:p>
  <w:p w14:paraId="11DA2F80" w14:textId="3665E7F6" w:rsidR="00C10449" w:rsidRDefault="003D461A" w:rsidP="00C10449">
    <w:pPr>
      <w:pStyle w:val="Footer"/>
      <w:spacing w:after="0"/>
      <w:rPr>
        <w:rFonts w:ascii="GillSans" w:hAnsi="GillSans"/>
        <w:sz w:val="14"/>
        <w:szCs w:val="14"/>
      </w:rPr>
    </w:pPr>
    <w:r w:rsidRPr="003D461A">
      <w:rPr>
        <w:rFonts w:ascii="GillSans" w:hAnsi="GillSans"/>
        <w:sz w:val="14"/>
        <w:szCs w:val="14"/>
      </w:rPr>
      <w:t>Registered Office: Diocesan House, 109 Dereham Road, Easton, Norwich NR9 5ES</w:t>
    </w:r>
  </w:p>
  <w:p w14:paraId="0F4335D9" w14:textId="50942591" w:rsidR="00C10449" w:rsidRPr="003D461A" w:rsidRDefault="003D461A" w:rsidP="00C10449">
    <w:pPr>
      <w:pStyle w:val="Footer"/>
      <w:tabs>
        <w:tab w:val="left" w:pos="6028"/>
      </w:tabs>
      <w:spacing w:after="0"/>
      <w:rPr>
        <w:rFonts w:ascii="GillSans" w:hAnsi="GillSans"/>
        <w:sz w:val="14"/>
        <w:szCs w:val="14"/>
      </w:rPr>
    </w:pPr>
    <w:r w:rsidRPr="003D461A">
      <w:rPr>
        <w:rFonts w:ascii="GillSans" w:hAnsi="GillSans"/>
        <w:sz w:val="14"/>
        <w:szCs w:val="14"/>
      </w:rPr>
      <w:t>Company no: 88175   Charity no: 249318   Tel: 01603 88</w:t>
    </w:r>
    <w:r w:rsidRPr="002D4EDD">
      <w:rPr>
        <w:rFonts w:ascii="GillSans" w:hAnsi="GillSans"/>
        <w:sz w:val="14"/>
        <w:szCs w:val="14"/>
        <w:vertAlign w:val="subscript"/>
      </w:rPr>
      <w:t xml:space="preserve">0853   </w:t>
    </w:r>
    <w:hyperlink r:id="rId2" w:history="1">
      <w:r w:rsidR="00C10449" w:rsidRPr="002D4EDD">
        <w:rPr>
          <w:rStyle w:val="Hyperlink"/>
          <w:rFonts w:ascii="GillSans" w:hAnsi="GillSans"/>
          <w:sz w:val="14"/>
          <w:szCs w:val="14"/>
          <w:vertAlign w:val="subscript"/>
        </w:rPr>
        <w:t>www.dioceseofnorwich.org</w:t>
      </w:r>
    </w:hyperlink>
    <w:r w:rsidR="00C10449">
      <w:rPr>
        <w:rFonts w:ascii="GillSans" w:hAnsi="GillSans"/>
        <w:sz w:val="14"/>
        <w:szCs w:val="14"/>
      </w:rPr>
      <w:tab/>
    </w:r>
    <w:r w:rsidR="00C10449">
      <w:rPr>
        <w:rFonts w:ascii="GillSans" w:hAnsi="GillSans"/>
        <w:sz w:val="14"/>
        <w:szCs w:val="14"/>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A0581" w14:textId="77777777" w:rsidR="00425566" w:rsidRDefault="00425566" w:rsidP="00F00F0B">
      <w:pPr>
        <w:spacing w:after="0" w:line="240" w:lineRule="auto"/>
      </w:pPr>
      <w:r>
        <w:separator/>
      </w:r>
    </w:p>
  </w:footnote>
  <w:footnote w:type="continuationSeparator" w:id="0">
    <w:p w14:paraId="0363F8E0" w14:textId="77777777" w:rsidR="00425566" w:rsidRDefault="00425566" w:rsidP="00F00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A2A0" w14:textId="77777777" w:rsidR="004C49E6" w:rsidRPr="00460541" w:rsidRDefault="00414F58" w:rsidP="00AE7D36">
    <w:pPr>
      <w:spacing w:after="60" w:line="240" w:lineRule="auto"/>
      <w:jc w:val="right"/>
      <w:rPr>
        <w:rFonts w:ascii="Gill Sans MT" w:hAnsi="Gill Sans MT"/>
        <w:b/>
        <w:sz w:val="20"/>
        <w:szCs w:val="20"/>
      </w:rPr>
    </w:pPr>
    <w:r w:rsidRPr="00460541">
      <w:rPr>
        <w:rFonts w:ascii="Gill Sans MT" w:hAnsi="Gill Sans MT"/>
        <w:noProof/>
      </w:rPr>
      <w:drawing>
        <wp:anchor distT="0" distB="0" distL="114300" distR="114300" simplePos="0" relativeHeight="251658240" behindDoc="0" locked="0" layoutInCell="1" allowOverlap="1" wp14:anchorId="64649EC7" wp14:editId="7FDC8B00">
          <wp:simplePos x="0" y="0"/>
          <wp:positionH relativeFrom="column">
            <wp:posOffset>4444365</wp:posOffset>
          </wp:positionH>
          <wp:positionV relativeFrom="paragraph">
            <wp:posOffset>-140970</wp:posOffset>
          </wp:positionV>
          <wp:extent cx="1844675" cy="833120"/>
          <wp:effectExtent l="0" t="0" r="0" b="0"/>
          <wp:wrapSquare wrapText="bothSides"/>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4675" cy="833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1CFAE" w14:textId="7A29015B" w:rsidR="004C49E6" w:rsidRPr="00460541" w:rsidRDefault="00213FF6" w:rsidP="00AE7D36">
    <w:pPr>
      <w:spacing w:after="60" w:line="240" w:lineRule="auto"/>
      <w:jc w:val="right"/>
      <w:rPr>
        <w:rFonts w:ascii="Gill Sans MT" w:hAnsi="Gill Sans MT"/>
        <w:b/>
        <w:sz w:val="20"/>
        <w:szCs w:val="20"/>
      </w:rPr>
    </w:pPr>
    <w:r>
      <w:rPr>
        <w:rFonts w:ascii="Gill Sans MT" w:hAnsi="Gill Sans MT"/>
        <w:b/>
        <w:sz w:val="20"/>
        <w:szCs w:val="20"/>
      </w:rPr>
      <w:softHyphen/>
    </w:r>
    <w:r>
      <w:rPr>
        <w:rFonts w:ascii="Gill Sans MT" w:hAnsi="Gill Sans MT"/>
        <w:b/>
        <w:sz w:val="20"/>
        <w:szCs w:val="20"/>
      </w:rPr>
      <w:softHyphen/>
    </w:r>
  </w:p>
  <w:p w14:paraId="0FD93435" w14:textId="60F6F75A" w:rsidR="004C49E6" w:rsidRPr="00460541" w:rsidRDefault="004C49E6" w:rsidP="00AE7D36">
    <w:pPr>
      <w:spacing w:after="60" w:line="240" w:lineRule="auto"/>
      <w:jc w:val="right"/>
      <w:rPr>
        <w:rFonts w:ascii="Gill Sans MT" w:hAnsi="Gill Sans MT"/>
        <w:b/>
        <w:sz w:val="20"/>
        <w:szCs w:val="20"/>
      </w:rPr>
    </w:pPr>
  </w:p>
  <w:p w14:paraId="1AB4A19C" w14:textId="34A6D94C" w:rsidR="004C49E6" w:rsidRPr="00460541" w:rsidRDefault="004C49E6" w:rsidP="00AE7D36">
    <w:pPr>
      <w:spacing w:after="60" w:line="240" w:lineRule="auto"/>
      <w:jc w:val="right"/>
      <w:rPr>
        <w:rFonts w:ascii="Gill Sans MT" w:hAnsi="Gill Sans MT"/>
        <w:b/>
        <w:sz w:val="20"/>
        <w:szCs w:val="20"/>
      </w:rPr>
    </w:pPr>
  </w:p>
  <w:p w14:paraId="26327AE0" w14:textId="77777777" w:rsidR="004C49E6" w:rsidRPr="00460541" w:rsidRDefault="004C49E6" w:rsidP="00AE7D36">
    <w:pPr>
      <w:spacing w:after="60" w:line="240" w:lineRule="auto"/>
      <w:jc w:val="right"/>
      <w:rPr>
        <w:rFonts w:ascii="Gill Sans MT" w:hAnsi="Gill Sans MT"/>
        <w:sz w:val="20"/>
        <w:szCs w:val="20"/>
      </w:rPr>
    </w:pPr>
  </w:p>
  <w:p w14:paraId="79A0A310" w14:textId="77777777" w:rsidR="004C49E6" w:rsidRPr="00460541" w:rsidRDefault="004C49E6" w:rsidP="00AE7D36">
    <w:pPr>
      <w:spacing w:after="60" w:line="240" w:lineRule="auto"/>
      <w:jc w:val="right"/>
      <w:rPr>
        <w:rFonts w:ascii="Gill Sans MT" w:hAnsi="Gill Sans M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8625B"/>
    <w:multiLevelType w:val="hybridMultilevel"/>
    <w:tmpl w:val="4C1090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433384"/>
    <w:multiLevelType w:val="hybridMultilevel"/>
    <w:tmpl w:val="0E60E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92894944">
    <w:abstractNumId w:val="1"/>
  </w:num>
  <w:num w:numId="2" w16cid:durableId="2025745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A2"/>
    <w:rsid w:val="000113A9"/>
    <w:rsid w:val="000264E2"/>
    <w:rsid w:val="00056B1B"/>
    <w:rsid w:val="0005704E"/>
    <w:rsid w:val="00063341"/>
    <w:rsid w:val="00063674"/>
    <w:rsid w:val="0006491C"/>
    <w:rsid w:val="00094E3C"/>
    <w:rsid w:val="00095BFE"/>
    <w:rsid w:val="000B2FCA"/>
    <w:rsid w:val="000E0D40"/>
    <w:rsid w:val="00100896"/>
    <w:rsid w:val="00103254"/>
    <w:rsid w:val="00114EC5"/>
    <w:rsid w:val="00124EF3"/>
    <w:rsid w:val="00133DEE"/>
    <w:rsid w:val="0016569B"/>
    <w:rsid w:val="00180266"/>
    <w:rsid w:val="001C3414"/>
    <w:rsid w:val="001F0040"/>
    <w:rsid w:val="002126ED"/>
    <w:rsid w:val="00213FF6"/>
    <w:rsid w:val="00237557"/>
    <w:rsid w:val="00253442"/>
    <w:rsid w:val="0025735F"/>
    <w:rsid w:val="0027067C"/>
    <w:rsid w:val="002A1632"/>
    <w:rsid w:val="002D4EDD"/>
    <w:rsid w:val="003228B7"/>
    <w:rsid w:val="00323E82"/>
    <w:rsid w:val="00336543"/>
    <w:rsid w:val="00360E03"/>
    <w:rsid w:val="00370713"/>
    <w:rsid w:val="003C2F66"/>
    <w:rsid w:val="003D461A"/>
    <w:rsid w:val="003E778F"/>
    <w:rsid w:val="003F5D73"/>
    <w:rsid w:val="00401525"/>
    <w:rsid w:val="004052BB"/>
    <w:rsid w:val="004078A8"/>
    <w:rsid w:val="00414F58"/>
    <w:rsid w:val="00425566"/>
    <w:rsid w:val="004463CC"/>
    <w:rsid w:val="0045534B"/>
    <w:rsid w:val="00460541"/>
    <w:rsid w:val="00484C63"/>
    <w:rsid w:val="004962CB"/>
    <w:rsid w:val="004C49E6"/>
    <w:rsid w:val="004D2631"/>
    <w:rsid w:val="004D60E3"/>
    <w:rsid w:val="004F20F9"/>
    <w:rsid w:val="00511F94"/>
    <w:rsid w:val="00520A76"/>
    <w:rsid w:val="00536FEE"/>
    <w:rsid w:val="005858F9"/>
    <w:rsid w:val="005934D6"/>
    <w:rsid w:val="00595B67"/>
    <w:rsid w:val="005E7F5E"/>
    <w:rsid w:val="00604BF2"/>
    <w:rsid w:val="0062680E"/>
    <w:rsid w:val="006413A9"/>
    <w:rsid w:val="00654730"/>
    <w:rsid w:val="0065516C"/>
    <w:rsid w:val="00672DC8"/>
    <w:rsid w:val="006816B4"/>
    <w:rsid w:val="006D1BB3"/>
    <w:rsid w:val="006E0DDC"/>
    <w:rsid w:val="006E490C"/>
    <w:rsid w:val="006F6450"/>
    <w:rsid w:val="00700A63"/>
    <w:rsid w:val="00713317"/>
    <w:rsid w:val="007545C5"/>
    <w:rsid w:val="0075483A"/>
    <w:rsid w:val="00755A57"/>
    <w:rsid w:val="00771B35"/>
    <w:rsid w:val="0079633A"/>
    <w:rsid w:val="007B17A1"/>
    <w:rsid w:val="007B1C6A"/>
    <w:rsid w:val="007C142E"/>
    <w:rsid w:val="007D11FC"/>
    <w:rsid w:val="0083388D"/>
    <w:rsid w:val="0083594C"/>
    <w:rsid w:val="008503A9"/>
    <w:rsid w:val="00893772"/>
    <w:rsid w:val="008C140B"/>
    <w:rsid w:val="008C1CBD"/>
    <w:rsid w:val="009555BC"/>
    <w:rsid w:val="00970DDC"/>
    <w:rsid w:val="00977B9C"/>
    <w:rsid w:val="00983239"/>
    <w:rsid w:val="009B0876"/>
    <w:rsid w:val="009D24BC"/>
    <w:rsid w:val="00A02B11"/>
    <w:rsid w:val="00A13575"/>
    <w:rsid w:val="00A21EC9"/>
    <w:rsid w:val="00A250AD"/>
    <w:rsid w:val="00A31359"/>
    <w:rsid w:val="00A43585"/>
    <w:rsid w:val="00A6181B"/>
    <w:rsid w:val="00A92423"/>
    <w:rsid w:val="00AA3C11"/>
    <w:rsid w:val="00AB6417"/>
    <w:rsid w:val="00AC2A0B"/>
    <w:rsid w:val="00AC3925"/>
    <w:rsid w:val="00AC6950"/>
    <w:rsid w:val="00AD6BDA"/>
    <w:rsid w:val="00AD7F62"/>
    <w:rsid w:val="00AE7D36"/>
    <w:rsid w:val="00AF3C82"/>
    <w:rsid w:val="00B10966"/>
    <w:rsid w:val="00B30A02"/>
    <w:rsid w:val="00B3133C"/>
    <w:rsid w:val="00B74C1B"/>
    <w:rsid w:val="00B86CD0"/>
    <w:rsid w:val="00BB24B0"/>
    <w:rsid w:val="00C05D80"/>
    <w:rsid w:val="00C10449"/>
    <w:rsid w:val="00C21EE1"/>
    <w:rsid w:val="00C25010"/>
    <w:rsid w:val="00C57135"/>
    <w:rsid w:val="00C57B34"/>
    <w:rsid w:val="00C7283A"/>
    <w:rsid w:val="00C8517F"/>
    <w:rsid w:val="00CD0CAE"/>
    <w:rsid w:val="00CD6482"/>
    <w:rsid w:val="00CE1866"/>
    <w:rsid w:val="00D01B42"/>
    <w:rsid w:val="00D04A20"/>
    <w:rsid w:val="00D059A3"/>
    <w:rsid w:val="00D23BEC"/>
    <w:rsid w:val="00D30FEC"/>
    <w:rsid w:val="00D35C93"/>
    <w:rsid w:val="00D45DF7"/>
    <w:rsid w:val="00DB5CA7"/>
    <w:rsid w:val="00DB6492"/>
    <w:rsid w:val="00DE50FE"/>
    <w:rsid w:val="00DF26A5"/>
    <w:rsid w:val="00E2308D"/>
    <w:rsid w:val="00E24EA2"/>
    <w:rsid w:val="00E338CC"/>
    <w:rsid w:val="00E34E86"/>
    <w:rsid w:val="00E46DF9"/>
    <w:rsid w:val="00E74B43"/>
    <w:rsid w:val="00E930D8"/>
    <w:rsid w:val="00EA33C3"/>
    <w:rsid w:val="00EC4567"/>
    <w:rsid w:val="00ED07C0"/>
    <w:rsid w:val="00ED4E91"/>
    <w:rsid w:val="00EF7EC7"/>
    <w:rsid w:val="00F00F0B"/>
    <w:rsid w:val="00F14A7A"/>
    <w:rsid w:val="00F43CD6"/>
    <w:rsid w:val="00F82C7A"/>
    <w:rsid w:val="00FC0BCA"/>
    <w:rsid w:val="00FE2301"/>
    <w:rsid w:val="00FE7977"/>
    <w:rsid w:val="00FE7CEE"/>
    <w:rsid w:val="00FF60EC"/>
    <w:rsid w:val="00FF6B73"/>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FFE7A"/>
  <w15:chartTrackingRefBased/>
  <w15:docId w15:val="{E5762DD4-93BC-D24C-A61A-89EDAB8A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4B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34E86"/>
    <w:rPr>
      <w:color w:val="0000FF"/>
      <w:u w:val="single"/>
    </w:rPr>
  </w:style>
  <w:style w:type="paragraph" w:styleId="NoSpacing">
    <w:name w:val="No Spacing"/>
    <w:uiPriority w:val="1"/>
    <w:qFormat/>
    <w:rsid w:val="00AB6417"/>
    <w:rPr>
      <w:sz w:val="22"/>
      <w:szCs w:val="22"/>
      <w:lang w:eastAsia="en-US"/>
    </w:rPr>
  </w:style>
  <w:style w:type="paragraph" w:styleId="Header">
    <w:name w:val="header"/>
    <w:basedOn w:val="Normal"/>
    <w:link w:val="HeaderChar"/>
    <w:uiPriority w:val="99"/>
    <w:unhideWhenUsed/>
    <w:rsid w:val="00F00F0B"/>
    <w:pPr>
      <w:tabs>
        <w:tab w:val="center" w:pos="4513"/>
        <w:tab w:val="right" w:pos="9026"/>
      </w:tabs>
    </w:pPr>
  </w:style>
  <w:style w:type="character" w:customStyle="1" w:styleId="HeaderChar">
    <w:name w:val="Header Char"/>
    <w:link w:val="Header"/>
    <w:uiPriority w:val="99"/>
    <w:rsid w:val="00F00F0B"/>
    <w:rPr>
      <w:sz w:val="22"/>
      <w:szCs w:val="22"/>
      <w:lang w:eastAsia="en-US"/>
    </w:rPr>
  </w:style>
  <w:style w:type="paragraph" w:styleId="Footer">
    <w:name w:val="footer"/>
    <w:basedOn w:val="Normal"/>
    <w:link w:val="FooterChar"/>
    <w:uiPriority w:val="99"/>
    <w:unhideWhenUsed/>
    <w:rsid w:val="00F00F0B"/>
    <w:pPr>
      <w:tabs>
        <w:tab w:val="center" w:pos="4513"/>
        <w:tab w:val="right" w:pos="9026"/>
      </w:tabs>
    </w:pPr>
  </w:style>
  <w:style w:type="character" w:customStyle="1" w:styleId="FooterChar">
    <w:name w:val="Footer Char"/>
    <w:link w:val="Footer"/>
    <w:uiPriority w:val="99"/>
    <w:rsid w:val="00F00F0B"/>
    <w:rPr>
      <w:sz w:val="22"/>
      <w:szCs w:val="22"/>
      <w:lang w:eastAsia="en-US"/>
    </w:rPr>
  </w:style>
  <w:style w:type="character" w:styleId="UnresolvedMention">
    <w:name w:val="Unresolved Mention"/>
    <w:basedOn w:val="DefaultParagraphFont"/>
    <w:uiPriority w:val="99"/>
    <w:semiHidden/>
    <w:unhideWhenUsed/>
    <w:rsid w:val="00C10449"/>
    <w:rPr>
      <w:color w:val="605E5C"/>
      <w:shd w:val="clear" w:color="auto" w:fill="E1DFDD"/>
    </w:rPr>
  </w:style>
  <w:style w:type="character" w:styleId="FollowedHyperlink">
    <w:name w:val="FollowedHyperlink"/>
    <w:basedOn w:val="DefaultParagraphFont"/>
    <w:uiPriority w:val="99"/>
    <w:semiHidden/>
    <w:unhideWhenUsed/>
    <w:rsid w:val="00C104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57189">
      <w:bodyDiv w:val="1"/>
      <w:marLeft w:val="0"/>
      <w:marRight w:val="0"/>
      <w:marTop w:val="0"/>
      <w:marBottom w:val="0"/>
      <w:divBdr>
        <w:top w:val="none" w:sz="0" w:space="0" w:color="auto"/>
        <w:left w:val="none" w:sz="0" w:space="0" w:color="auto"/>
        <w:bottom w:val="none" w:sz="0" w:space="0" w:color="auto"/>
        <w:right w:val="none" w:sz="0" w:space="0" w:color="auto"/>
      </w:divBdr>
      <w:divsChild>
        <w:div w:id="791173493">
          <w:marLeft w:val="0"/>
          <w:marRight w:val="0"/>
          <w:marTop w:val="0"/>
          <w:marBottom w:val="0"/>
          <w:divBdr>
            <w:top w:val="none" w:sz="0" w:space="0" w:color="auto"/>
            <w:left w:val="single" w:sz="6" w:space="0" w:color="D2B48C"/>
            <w:bottom w:val="single" w:sz="6" w:space="0" w:color="D2B48C"/>
            <w:right w:val="single" w:sz="6" w:space="0" w:color="D2B48C"/>
          </w:divBdr>
          <w:divsChild>
            <w:div w:id="241723287">
              <w:marLeft w:val="0"/>
              <w:marRight w:val="0"/>
              <w:marTop w:val="0"/>
              <w:marBottom w:val="0"/>
              <w:divBdr>
                <w:top w:val="none" w:sz="0" w:space="0" w:color="auto"/>
                <w:left w:val="none" w:sz="0" w:space="0" w:color="auto"/>
                <w:bottom w:val="none" w:sz="0" w:space="0" w:color="auto"/>
                <w:right w:val="none" w:sz="0" w:space="0" w:color="auto"/>
              </w:divBdr>
            </w:div>
            <w:div w:id="14404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61686">
      <w:bodyDiv w:val="1"/>
      <w:marLeft w:val="0"/>
      <w:marRight w:val="0"/>
      <w:marTop w:val="0"/>
      <w:marBottom w:val="0"/>
      <w:divBdr>
        <w:top w:val="none" w:sz="0" w:space="0" w:color="auto"/>
        <w:left w:val="none" w:sz="0" w:space="0" w:color="auto"/>
        <w:bottom w:val="none" w:sz="0" w:space="0" w:color="auto"/>
        <w:right w:val="none" w:sz="0" w:space="0" w:color="auto"/>
      </w:divBdr>
    </w:div>
    <w:div w:id="573392181">
      <w:bodyDiv w:val="1"/>
      <w:marLeft w:val="0"/>
      <w:marRight w:val="0"/>
      <w:marTop w:val="0"/>
      <w:marBottom w:val="0"/>
      <w:divBdr>
        <w:top w:val="none" w:sz="0" w:space="0" w:color="auto"/>
        <w:left w:val="none" w:sz="0" w:space="0" w:color="auto"/>
        <w:bottom w:val="none" w:sz="0" w:space="0" w:color="auto"/>
        <w:right w:val="none" w:sz="0" w:space="0" w:color="auto"/>
      </w:divBdr>
    </w:div>
    <w:div w:id="722752809">
      <w:bodyDiv w:val="1"/>
      <w:marLeft w:val="0"/>
      <w:marRight w:val="0"/>
      <w:marTop w:val="0"/>
      <w:marBottom w:val="0"/>
      <w:divBdr>
        <w:top w:val="none" w:sz="0" w:space="0" w:color="auto"/>
        <w:left w:val="none" w:sz="0" w:space="0" w:color="auto"/>
        <w:bottom w:val="none" w:sz="0" w:space="0" w:color="auto"/>
        <w:right w:val="none" w:sz="0" w:space="0" w:color="auto"/>
      </w:divBdr>
    </w:div>
    <w:div w:id="1886138988">
      <w:bodyDiv w:val="1"/>
      <w:marLeft w:val="0"/>
      <w:marRight w:val="0"/>
      <w:marTop w:val="0"/>
      <w:marBottom w:val="0"/>
      <w:divBdr>
        <w:top w:val="none" w:sz="0" w:space="0" w:color="auto"/>
        <w:left w:val="none" w:sz="0" w:space="0" w:color="auto"/>
        <w:bottom w:val="none" w:sz="0" w:space="0" w:color="auto"/>
        <w:right w:val="none" w:sz="0" w:space="0" w:color="auto"/>
      </w:divBdr>
      <w:divsChild>
        <w:div w:id="558056072">
          <w:marLeft w:val="0"/>
          <w:marRight w:val="0"/>
          <w:marTop w:val="105"/>
          <w:marBottom w:val="30"/>
          <w:divBdr>
            <w:top w:val="none" w:sz="0" w:space="2" w:color="D6E9C6"/>
            <w:left w:val="none" w:sz="0" w:space="4" w:color="D6E9C6"/>
            <w:bottom w:val="none" w:sz="0" w:space="2" w:color="D6E9C6"/>
            <w:right w:val="none" w:sz="0" w:space="0" w:color="D6E9C6"/>
          </w:divBdr>
        </w:div>
        <w:div w:id="59140520">
          <w:marLeft w:val="0"/>
          <w:marRight w:val="0"/>
          <w:marTop w:val="105"/>
          <w:marBottom w:val="30"/>
          <w:divBdr>
            <w:top w:val="none" w:sz="0" w:space="2" w:color="D6E9C6"/>
            <w:left w:val="none" w:sz="0" w:space="4" w:color="D6E9C6"/>
            <w:bottom w:val="none" w:sz="0" w:space="2" w:color="D6E9C6"/>
            <w:right w:val="none" w:sz="0" w:space="0" w:color="D6E9C6"/>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hurchofengland.org/safeguarding/safeguarding-e-manual/managing-safeguarding-concerns-and-allegations/section-4-pathway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dioceseofnorwich.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d62e7d-7cee-48ed-8bed-4c7a7cef1e50">
      <Terms xmlns="http://schemas.microsoft.com/office/infopath/2007/PartnerControls"/>
    </lcf76f155ced4ddcb4097134ff3c332f>
    <TaxCatchAll xmlns="4a9c307b-8f44-41ce-b5a3-d48c724e9fbc" xsi:nil="true"/>
    <SharedWithUsers xmlns="4a9c307b-8f44-41ce-b5a3-d48c724e9fbc">
      <UserInfo>
        <DisplayName/>
        <AccountId xsi:nil="true"/>
        <AccountType/>
      </UserInfo>
    </SharedWithUsers>
    <MediaLengthInSeconds xmlns="3ed62e7d-7cee-48ed-8bed-4c7a7cef1e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8" ma:contentTypeDescription="Create a new document." ma:contentTypeScope="" ma:versionID="f891fd463daa5f8550c6393ab800dcc6">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5c6596ed6ee2bcf13ecf22731641cffc"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3CBBC7-A40C-4863-BC0F-E32FD1971510}">
  <ds:schemaRefs>
    <ds:schemaRef ds:uri="http://schemas.microsoft.com/sharepoint/v3/contenttype/forms"/>
  </ds:schemaRefs>
</ds:datastoreItem>
</file>

<file path=customXml/itemProps2.xml><?xml version="1.0" encoding="utf-8"?>
<ds:datastoreItem xmlns:ds="http://schemas.openxmlformats.org/officeDocument/2006/customXml" ds:itemID="{AC006B7D-8CD2-40DA-B47F-E015B5A88F43}">
  <ds:schemaRefs>
    <ds:schemaRef ds:uri="http://schemas.microsoft.com/office/2006/metadata/properties"/>
    <ds:schemaRef ds:uri="http://schemas.microsoft.com/office/infopath/2007/PartnerControls"/>
    <ds:schemaRef ds:uri="3ed62e7d-7cee-48ed-8bed-4c7a7cef1e50"/>
    <ds:schemaRef ds:uri="4a9c307b-8f44-41ce-b5a3-d48c724e9fbc"/>
  </ds:schemaRefs>
</ds:datastoreItem>
</file>

<file path=customXml/itemProps3.xml><?xml version="1.0" encoding="utf-8"?>
<ds:datastoreItem xmlns:ds="http://schemas.openxmlformats.org/officeDocument/2006/customXml" ds:itemID="{7EB6B824-ED88-4C62-9413-966218662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62e7d-7cee-48ed-8bed-4c7a7cef1e50"/>
    <ds:schemaRef ds:uri="4a9c307b-8f44-41ce-b5a3-d48c724e9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Heybourne</dc:creator>
  <cp:keywords/>
  <cp:lastModifiedBy>Brenna Wells</cp:lastModifiedBy>
  <cp:revision>2</cp:revision>
  <cp:lastPrinted>2024-05-23T10:39:00Z</cp:lastPrinted>
  <dcterms:created xsi:type="dcterms:W3CDTF">2026-08-20T10:23:00Z</dcterms:created>
  <dcterms:modified xsi:type="dcterms:W3CDTF">2026-08-20T10:23:00Z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Order">
    <vt:r8>19000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MediaServiceImageTags">
    <vt:lpwstr/>
  </property>
</Properties>
</file>