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7207C1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r w:rsidR="00FF6F0B">
        <w:rPr>
          <w:rFonts w:eastAsia="MS Mincho" w:cstheme="minorHAnsi"/>
        </w:rPr>
        <w:t>[please enter data controller’s name]</w:t>
      </w:r>
    </w:p>
    <w:p w14:paraId="51DF47F6" w14:textId="386B911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65529C">
        <w:rPr>
          <w:rFonts w:eastAsia="MS Mincho" w:cstheme="minorHAnsi"/>
          <w:bCs/>
        </w:rPr>
        <w:t>[</w:t>
      </w:r>
      <w:r w:rsidR="00FF6F0B">
        <w:rPr>
          <w:rFonts w:eastAsia="MS Mincho" w:cstheme="minorHAnsi"/>
          <w:bCs/>
        </w:rPr>
        <w:t>please enter data controller’s address]</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lastRenderedPageBreak/>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000000"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lastRenderedPageBreak/>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0803" w14:textId="77777777" w:rsidR="00D17B67" w:rsidRDefault="00D17B67" w:rsidP="008F4DE7">
      <w:pPr>
        <w:spacing w:after="0" w:line="240" w:lineRule="auto"/>
      </w:pPr>
      <w:r>
        <w:separator/>
      </w:r>
    </w:p>
  </w:endnote>
  <w:endnote w:type="continuationSeparator" w:id="0">
    <w:p w14:paraId="1FD8FB9E" w14:textId="77777777" w:rsidR="00D17B67" w:rsidRDefault="00D17B67"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A2E1" w14:textId="77777777" w:rsidR="00D17B67" w:rsidRDefault="00D17B67" w:rsidP="008F4DE7">
      <w:pPr>
        <w:spacing w:after="0" w:line="240" w:lineRule="auto"/>
      </w:pPr>
      <w:r>
        <w:separator/>
      </w:r>
    </w:p>
  </w:footnote>
  <w:footnote w:type="continuationSeparator" w:id="0">
    <w:p w14:paraId="41E81BC8" w14:textId="77777777" w:rsidR="00D17B67" w:rsidRDefault="00D17B6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9264"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4FA8"/>
    <w:rsid w:val="00011500"/>
    <w:rsid w:val="00015635"/>
    <w:rsid w:val="00023189"/>
    <w:rsid w:val="000316C7"/>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5529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907"/>
    <w:rsid w:val="008F4DE7"/>
    <w:rsid w:val="00900D88"/>
    <w:rsid w:val="00920B22"/>
    <w:rsid w:val="0092556E"/>
    <w:rsid w:val="00933450"/>
    <w:rsid w:val="00967793"/>
    <w:rsid w:val="00993EDE"/>
    <w:rsid w:val="0099484B"/>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17B67"/>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0063"/>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 w:val="00FF6F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570C3D69-5DF7-4D85-B39C-24B9F29115DD}"/>
</file>

<file path=customXml/itemProps3.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1A346C62-CCE5-470A-98C4-D56C0F001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Brenna Wells</cp:lastModifiedBy>
  <cp:revision>4</cp:revision>
  <cp:lastPrinted>2024-01-19T11:19:00Z</cp:lastPrinted>
  <dcterms:created xsi:type="dcterms:W3CDTF">2024-03-28T14:48:00Z</dcterms:created>
  <dcterms:modified xsi:type="dcterms:W3CDTF">2024-03-28T14:49:00Z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